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pPr>
      <w:r>
        <w:rPr>
          <w:rFonts w:ascii="Arial" w:hAnsi="Arial"/>
          <w:b/>
          <w:color w:val="000000"/>
          <w:sz w:val="54"/>
        </w:rPr>
        <w:t>Email review preparation sheet</w:t>
      </w:r>
    </w:p>
    <w:p>
      <w:r>
        <w:rPr>
          <w:rFonts w:ascii="Arial" w:hAnsi="Arial"/>
          <w:b w:val="0"/>
        </w:rPr>
        <w:t>Use this sheet to prepare for a scoped Email Authentication &amp; Delivery Review. It helps us agree what to examine; filling it in does not authorize testing or configuration changes. We start only after both sides accept the same written scope, fee and delivery date.</w:t>
      </w:r>
    </w:p>
    <w:p>
      <w:pPr>
        <w:pStyle w:val="Heading2"/>
      </w:pPr>
      <w:r>
        <w:rPr>
          <w:rFonts w:ascii="Arial" w:hAnsi="Arial"/>
          <w:b w:val="0"/>
        </w:rPr>
        <w:t>Your organization and domain</w:t>
      </w:r>
    </w:p>
    <w:p>
      <w:pPr>
        <w:pStyle w:val="ListBullet"/>
        <w:keepLines/>
        <w:spacing w:after="20" w:line="240" w:lineRule="auto"/>
        <w:ind w:left="317" w:hanging="187"/>
      </w:pPr>
      <w:r>
        <w:rPr>
          <w:rFonts w:ascii="Arial" w:hAnsi="Arial"/>
          <w:b w:val="0"/>
        </w:rPr>
        <w:t xml:space="preserve">Organization: </w:t>
      </w:r>
      <w:r>
        <w:rPr>
          <w:rFonts w:ascii="Arial" w:hAnsi="Arial"/>
          <w:b w:val="0"/>
          <w:color w:val="187F82"/>
        </w:rPr>
        <w:t>[ ]</w:t>
      </w:r>
    </w:p>
    <w:p>
      <w:pPr>
        <w:pStyle w:val="ListBullet"/>
        <w:keepLines/>
        <w:spacing w:after="20" w:line="240" w:lineRule="auto"/>
        <w:ind w:left="317" w:hanging="187"/>
      </w:pPr>
      <w:r>
        <w:rPr>
          <w:rFonts w:ascii="Arial" w:hAnsi="Arial"/>
          <w:b w:val="0"/>
        </w:rPr>
        <w:t xml:space="preserve">Technical contact and role: </w:t>
      </w:r>
      <w:r>
        <w:rPr>
          <w:rFonts w:ascii="Arial" w:hAnsi="Arial"/>
          <w:b w:val="0"/>
          <w:color w:val="187F82"/>
        </w:rPr>
        <w:t>[ ]</w:t>
      </w:r>
    </w:p>
    <w:p>
      <w:pPr>
        <w:pStyle w:val="ListBullet"/>
        <w:keepLines/>
        <w:spacing w:after="20" w:line="240" w:lineRule="auto"/>
        <w:ind w:left="317" w:hanging="187"/>
      </w:pPr>
      <w:r>
        <w:rPr>
          <w:rFonts w:ascii="Arial" w:hAnsi="Arial"/>
          <w:b w:val="0"/>
        </w:rPr>
        <w:t xml:space="preserve">Email address for the agreed report recipient: </w:t>
      </w:r>
      <w:r>
        <w:rPr>
          <w:rFonts w:ascii="Arial" w:hAnsi="Arial"/>
          <w:b w:val="0"/>
          <w:color w:val="187F82"/>
        </w:rPr>
        <w:t>[ ]</w:t>
      </w:r>
    </w:p>
    <w:p>
      <w:pPr>
        <w:pStyle w:val="ListBullet"/>
        <w:keepLines/>
        <w:spacing w:after="20" w:line="240" w:lineRule="auto"/>
        <w:ind w:left="317" w:hanging="187"/>
      </w:pPr>
      <w:r>
        <w:rPr>
          <w:rFonts w:ascii="Arial" w:hAnsi="Arial"/>
          <w:b w:val="0"/>
        </w:rPr>
        <w:t xml:space="preserve">Domain you own or are authorized to review: </w:t>
      </w:r>
      <w:r>
        <w:rPr>
          <w:rFonts w:ascii="Arial" w:hAnsi="Arial"/>
          <w:b w:val="0"/>
          <w:color w:val="187F82"/>
        </w:rPr>
        <w:t>[ ]</w:t>
      </w:r>
    </w:p>
    <w:p>
      <w:pPr>
        <w:pStyle w:val="ListBullet"/>
        <w:keepLines/>
        <w:spacing w:after="20" w:line="240" w:lineRule="auto"/>
        <w:ind w:left="317" w:hanging="187"/>
      </w:pPr>
      <w:r>
        <w:rPr>
          <w:rFonts w:ascii="Arial" w:hAnsi="Arial"/>
          <w:b w:val="0"/>
        </w:rPr>
        <w:t xml:space="preserve">Your role or authorization to request this review: </w:t>
      </w:r>
      <w:r>
        <w:rPr>
          <w:rFonts w:ascii="Arial" w:hAnsi="Arial"/>
          <w:b w:val="0"/>
          <w:color w:val="187F82"/>
        </w:rPr>
        <w:t>[ ]</w:t>
      </w:r>
    </w:p>
    <w:p>
      <w:pPr>
        <w:pStyle w:val="Heading2"/>
      </w:pPr>
      <w:r>
        <w:rPr>
          <w:rFonts w:ascii="Arial" w:hAnsi="Arial"/>
          <w:b w:val="0"/>
        </w:rPr>
        <w:t>Sending services</w:t>
      </w:r>
    </w:p>
    <w:p>
      <w:r>
        <w:rPr>
          <w:rFonts w:ascii="Arial" w:hAnsi="Arial"/>
          <w:b w:val="0"/>
        </w:rPr>
        <w:t>List up to three services that you know send email for this domain. This review does not discover every possible sender.</w:t>
      </w:r>
    </w:p>
    <w:tbl>
      <w:tblPr>
        <w:tblStyle w:val="TableGrid"/>
        <w:tblW w:type="auto" w:w="0"/>
        <w:tblLayout w:type="autofit"/>
        <w:tblLook w:firstColumn="1" w:firstRow="1" w:lastColumn="0" w:lastRow="0" w:noHBand="0" w:noVBand="1" w:val="04A0"/>
        <w:tblBorders>
          <w:top w:val="single" w:sz="4" w:color="D7E1E5"/>
          <w:left w:val="single" w:sz="4" w:color="D7E1E5"/>
          <w:bottom w:val="single" w:sz="4" w:color="D7E1E5"/>
          <w:right w:val="single" w:sz="4" w:color="D7E1E5"/>
          <w:insideH w:val="single" w:sz="4" w:color="D7E1E5"/>
          <w:insideV w:val="single" w:sz="4" w:color="D7E1E5"/>
        </w:tblBorders>
      </w:tblPr>
      <w:tblGrid>
        <w:gridCol w:w="2033"/>
        <w:gridCol w:w="2033"/>
        <w:gridCol w:w="2033"/>
        <w:gridCol w:w="2033"/>
        <w:gridCol w:w="2033"/>
      </w:tblGrid>
      <w:tr>
        <w:trPr>
          <w:cantSplit/>
          <w:tblHeader w:val="true"/>
        </w:trPr>
        <w:tc>
          <w:tcPr>
            <w:tcW w:type="dxa" w:w="2033"/>
            <w:vAlign w:val="center"/>
            <w:tcMar>
              <w:top w:w="90" w:type="dxa"/>
              <w:start w:w="110" w:type="dxa"/>
              <w:bottom w:w="90" w:type="dxa"/>
              <w:end w:w="110" w:type="dxa"/>
            </w:tcMar>
            <w:shd w:fill="18324B"/>
          </w:tcPr>
          <w:p>
            <w:pPr>
              <w:spacing w:after="0" w:line="252" w:lineRule="auto"/>
            </w:pPr>
            <w:r>
              <w:rPr>
                <w:rFonts w:ascii="Arial" w:hAnsi="Arial"/>
                <w:b/>
                <w:color w:val="FFFFFF"/>
                <w:sz w:val="17"/>
              </w:rPr>
            </w:r>
            <w:r>
              <w:rPr>
                <w:rFonts w:ascii="Arial" w:hAnsi="Arial"/>
                <w:b/>
                <w:color w:val="FFFFFF"/>
                <w:sz w:val="17"/>
              </w:rPr>
              <w:t>#</w:t>
            </w:r>
          </w:p>
        </w:tc>
        <w:tc>
          <w:tcPr>
            <w:tcW w:type="dxa" w:w="2033"/>
            <w:vAlign w:val="center"/>
            <w:tcMar>
              <w:top w:w="90" w:type="dxa"/>
              <w:start w:w="110" w:type="dxa"/>
              <w:bottom w:w="90" w:type="dxa"/>
              <w:end w:w="110" w:type="dxa"/>
            </w:tcMar>
            <w:shd w:fill="18324B"/>
          </w:tcPr>
          <w:p>
            <w:pPr>
              <w:spacing w:after="0" w:line="252" w:lineRule="auto"/>
            </w:pPr>
            <w:r>
              <w:rPr>
                <w:rFonts w:ascii="Arial" w:hAnsi="Arial"/>
                <w:b/>
                <w:color w:val="FFFFFF"/>
                <w:sz w:val="17"/>
              </w:rPr>
            </w:r>
            <w:r>
              <w:rPr>
                <w:rFonts w:ascii="Arial" w:hAnsi="Arial"/>
                <w:b/>
                <w:color w:val="FFFFFF"/>
                <w:sz w:val="17"/>
              </w:rPr>
              <w:t>Service or provider</w:t>
            </w:r>
          </w:p>
        </w:tc>
        <w:tc>
          <w:tcPr>
            <w:tcW w:type="dxa" w:w="2033"/>
            <w:vAlign w:val="center"/>
            <w:tcMar>
              <w:top w:w="90" w:type="dxa"/>
              <w:start w:w="110" w:type="dxa"/>
              <w:bottom w:w="90" w:type="dxa"/>
              <w:end w:w="110" w:type="dxa"/>
            </w:tcMar>
            <w:shd w:fill="18324B"/>
          </w:tcPr>
          <w:p>
            <w:pPr>
              <w:spacing w:after="0" w:line="252" w:lineRule="auto"/>
            </w:pPr>
            <w:r>
              <w:rPr>
                <w:rFonts w:ascii="Arial" w:hAnsi="Arial"/>
                <w:b/>
                <w:color w:val="FFFFFF"/>
                <w:sz w:val="17"/>
              </w:rPr>
            </w:r>
            <w:r>
              <w:rPr>
                <w:rFonts w:ascii="Arial" w:hAnsi="Arial"/>
                <w:b/>
                <w:color w:val="FFFFFF"/>
                <w:sz w:val="17"/>
              </w:rPr>
              <w:t>Type of email sent</w:t>
            </w:r>
          </w:p>
        </w:tc>
        <w:tc>
          <w:tcPr>
            <w:tcW w:type="dxa" w:w="2033"/>
            <w:vAlign w:val="center"/>
            <w:tcMar>
              <w:top w:w="90" w:type="dxa"/>
              <w:start w:w="110" w:type="dxa"/>
              <w:bottom w:w="90" w:type="dxa"/>
              <w:end w:w="110" w:type="dxa"/>
            </w:tcMar>
            <w:shd w:fill="18324B"/>
          </w:tcPr>
          <w:p>
            <w:pPr>
              <w:spacing w:after="0" w:line="252" w:lineRule="auto"/>
            </w:pPr>
            <w:r>
              <w:rPr>
                <w:rFonts w:ascii="Arial" w:hAnsi="Arial"/>
                <w:b/>
                <w:color w:val="FFFFFF"/>
                <w:sz w:val="17"/>
              </w:rPr>
            </w:r>
            <w:r>
              <w:rPr>
                <w:rFonts w:ascii="Arial" w:hAnsi="Arial"/>
                <w:b/>
                <w:color w:val="FFFFFF"/>
                <w:sz w:val="17"/>
              </w:rPr>
              <w:t>Sender or envelope domain, if known</w:t>
            </w:r>
          </w:p>
        </w:tc>
        <w:tc>
          <w:tcPr>
            <w:tcW w:type="dxa" w:w="2033"/>
            <w:vAlign w:val="center"/>
            <w:tcMar>
              <w:top w:w="90" w:type="dxa"/>
              <w:start w:w="110" w:type="dxa"/>
              <w:bottom w:w="90" w:type="dxa"/>
              <w:end w:w="110" w:type="dxa"/>
            </w:tcMar>
            <w:shd w:fill="18324B"/>
          </w:tcPr>
          <w:p>
            <w:pPr>
              <w:spacing w:after="0" w:line="252" w:lineRule="auto"/>
            </w:pPr>
            <w:r>
              <w:rPr>
                <w:rFonts w:ascii="Arial" w:hAnsi="Arial"/>
                <w:b/>
                <w:color w:val="FFFFFF"/>
                <w:sz w:val="17"/>
              </w:rPr>
            </w:r>
            <w:r>
              <w:rPr>
                <w:rFonts w:ascii="Arial" w:hAnsi="Arial"/>
                <w:b/>
                <w:color w:val="FFFFFF"/>
                <w:sz w:val="17"/>
              </w:rPr>
              <w:t>Select for the one message test</w:t>
            </w:r>
          </w:p>
        </w:tc>
      </w:tr>
      <w:tr>
        <w:trPr>
          <w:cantSplit/>
        </w:trPr>
        <w:tc>
          <w:tcPr>
            <w:tcW w:type="dxa" w:w="2033"/>
            <w:vAlign w:val="center"/>
            <w:tcMar>
              <w:top w:w="90" w:type="dxa"/>
              <w:start w:w="110" w:type="dxa"/>
              <w:bottom w:w="90" w:type="dxa"/>
              <w:end w:w="110" w:type="dxa"/>
            </w:tcMar>
          </w:tcPr>
          <w:p>
            <w:pPr>
              <w:spacing w:after="0" w:line="252" w:lineRule="auto"/>
            </w:pPr>
            <w:r>
              <w:rPr>
                <w:rFonts w:ascii="Arial" w:hAnsi="Arial"/>
                <w:sz w:val="17"/>
              </w:rPr>
            </w:r>
            <w:r>
              <w:rPr>
                <w:rFonts w:ascii="Arial" w:hAnsi="Arial"/>
                <w:b w:val="0"/>
                <w:sz w:val="17"/>
              </w:rPr>
              <w:t>1</w:t>
            </w:r>
          </w:p>
        </w:tc>
        <w:tc>
          <w:tcPr>
            <w:tcW w:type="dxa" w:w="2033"/>
            <w:vAlign w:val="center"/>
            <w:tcMar>
              <w:top w:w="90" w:type="dxa"/>
              <w:start w:w="110" w:type="dxa"/>
              <w:bottom w:w="90" w:type="dxa"/>
              <w:end w:w="110" w:type="dxa"/>
            </w:tcMar>
          </w:tcPr>
          <w:p>
            <w:pPr>
              <w:spacing w:after="0" w:line="252" w:lineRule="auto"/>
            </w:pPr>
            <w:r>
              <w:rPr>
                <w:rFonts w:ascii="Arial" w:hAnsi="Arial"/>
                <w:sz w:val="17"/>
              </w:rPr>
            </w:r>
            <w:r>
              <w:rPr>
                <w:rFonts w:ascii="Arial" w:hAnsi="Arial"/>
                <w:b w:val="0"/>
                <w:color w:val="187F82"/>
                <w:sz w:val="17"/>
              </w:rPr>
              <w:t>[ ]</w:t>
            </w:r>
          </w:p>
        </w:tc>
        <w:tc>
          <w:tcPr>
            <w:tcW w:type="dxa" w:w="2033"/>
            <w:vAlign w:val="center"/>
            <w:tcMar>
              <w:top w:w="90" w:type="dxa"/>
              <w:start w:w="110" w:type="dxa"/>
              <w:bottom w:w="90" w:type="dxa"/>
              <w:end w:w="110" w:type="dxa"/>
            </w:tcMar>
          </w:tcPr>
          <w:p>
            <w:pPr>
              <w:spacing w:after="0" w:line="252" w:lineRule="auto"/>
            </w:pPr>
            <w:r>
              <w:rPr>
                <w:rFonts w:ascii="Arial" w:hAnsi="Arial"/>
                <w:sz w:val="17"/>
              </w:rPr>
            </w:r>
            <w:r>
              <w:rPr>
                <w:rFonts w:ascii="Arial" w:hAnsi="Arial"/>
                <w:b w:val="0"/>
                <w:color w:val="187F82"/>
                <w:sz w:val="17"/>
              </w:rPr>
              <w:t>[ ]</w:t>
            </w:r>
          </w:p>
        </w:tc>
        <w:tc>
          <w:tcPr>
            <w:tcW w:type="dxa" w:w="2033"/>
            <w:vAlign w:val="center"/>
            <w:tcMar>
              <w:top w:w="90" w:type="dxa"/>
              <w:start w:w="110" w:type="dxa"/>
              <w:bottom w:w="90" w:type="dxa"/>
              <w:end w:w="110" w:type="dxa"/>
            </w:tcMar>
          </w:tcPr>
          <w:p>
            <w:pPr>
              <w:spacing w:after="0" w:line="252" w:lineRule="auto"/>
            </w:pPr>
            <w:r>
              <w:rPr>
                <w:rFonts w:ascii="Arial" w:hAnsi="Arial"/>
                <w:sz w:val="17"/>
              </w:rPr>
            </w:r>
            <w:r>
              <w:rPr>
                <w:rFonts w:ascii="Arial" w:hAnsi="Arial"/>
                <w:b w:val="0"/>
                <w:color w:val="187F82"/>
                <w:sz w:val="17"/>
              </w:rPr>
              <w:t>[ ]</w:t>
            </w:r>
          </w:p>
        </w:tc>
        <w:tc>
          <w:tcPr>
            <w:tcW w:type="dxa" w:w="2033"/>
            <w:vAlign w:val="center"/>
            <w:tcMar>
              <w:top w:w="90" w:type="dxa"/>
              <w:start w:w="110" w:type="dxa"/>
              <w:bottom w:w="90" w:type="dxa"/>
              <w:end w:w="110" w:type="dxa"/>
            </w:tcMar>
          </w:tcPr>
          <w:p>
            <w:pPr>
              <w:spacing w:after="0" w:line="252" w:lineRule="auto"/>
            </w:pPr>
            <w:r>
              <w:rPr>
                <w:rFonts w:ascii="Arial" w:hAnsi="Arial"/>
                <w:sz w:val="17"/>
              </w:rPr>
            </w:r>
            <w:r>
              <w:rPr>
                <w:rFonts w:ascii="Arial" w:hAnsi="Arial"/>
                <w:b w:val="0"/>
                <w:color w:val="187F82"/>
                <w:sz w:val="17"/>
              </w:rPr>
              <w:t>[ ]</w:t>
            </w:r>
          </w:p>
        </w:tc>
      </w:tr>
      <w:tr>
        <w:trPr>
          <w:cantSplit/>
        </w:trPr>
        <w:tc>
          <w:tcPr>
            <w:tcW w:type="dxa" w:w="2033"/>
            <w:vAlign w:val="center"/>
            <w:tcMar>
              <w:top w:w="90" w:type="dxa"/>
              <w:start w:w="110" w:type="dxa"/>
              <w:bottom w:w="90" w:type="dxa"/>
              <w:end w:w="110" w:type="dxa"/>
            </w:tcMar>
            <w:shd w:fill="F5F8F9"/>
          </w:tcPr>
          <w:p>
            <w:pPr>
              <w:spacing w:after="0" w:line="252" w:lineRule="auto"/>
            </w:pPr>
            <w:r>
              <w:rPr>
                <w:rFonts w:ascii="Arial" w:hAnsi="Arial"/>
                <w:sz w:val="17"/>
              </w:rPr>
            </w:r>
            <w:r>
              <w:rPr>
                <w:rFonts w:ascii="Arial" w:hAnsi="Arial"/>
                <w:b w:val="0"/>
                <w:sz w:val="17"/>
              </w:rPr>
              <w:t>2</w:t>
            </w:r>
          </w:p>
        </w:tc>
        <w:tc>
          <w:tcPr>
            <w:tcW w:type="dxa" w:w="2033"/>
            <w:vAlign w:val="center"/>
            <w:tcMar>
              <w:top w:w="90" w:type="dxa"/>
              <w:start w:w="110" w:type="dxa"/>
              <w:bottom w:w="90" w:type="dxa"/>
              <w:end w:w="110" w:type="dxa"/>
            </w:tcMar>
            <w:shd w:fill="F5F8F9"/>
          </w:tcPr>
          <w:p>
            <w:pPr>
              <w:spacing w:after="0" w:line="252" w:lineRule="auto"/>
            </w:pPr>
            <w:r>
              <w:rPr>
                <w:rFonts w:ascii="Arial" w:hAnsi="Arial"/>
                <w:sz w:val="17"/>
              </w:rPr>
            </w:r>
            <w:r>
              <w:rPr>
                <w:rFonts w:ascii="Arial" w:hAnsi="Arial"/>
                <w:b w:val="0"/>
                <w:color w:val="187F82"/>
                <w:sz w:val="17"/>
              </w:rPr>
              <w:t>[ ]</w:t>
            </w:r>
          </w:p>
        </w:tc>
        <w:tc>
          <w:tcPr>
            <w:tcW w:type="dxa" w:w="2033"/>
            <w:vAlign w:val="center"/>
            <w:tcMar>
              <w:top w:w="90" w:type="dxa"/>
              <w:start w:w="110" w:type="dxa"/>
              <w:bottom w:w="90" w:type="dxa"/>
              <w:end w:w="110" w:type="dxa"/>
            </w:tcMar>
            <w:shd w:fill="F5F8F9"/>
          </w:tcPr>
          <w:p>
            <w:pPr>
              <w:spacing w:after="0" w:line="252" w:lineRule="auto"/>
            </w:pPr>
            <w:r>
              <w:rPr>
                <w:rFonts w:ascii="Arial" w:hAnsi="Arial"/>
                <w:sz w:val="17"/>
              </w:rPr>
            </w:r>
            <w:r>
              <w:rPr>
                <w:rFonts w:ascii="Arial" w:hAnsi="Arial"/>
                <w:b w:val="0"/>
                <w:color w:val="187F82"/>
                <w:sz w:val="17"/>
              </w:rPr>
              <w:t>[ ]</w:t>
            </w:r>
          </w:p>
        </w:tc>
        <w:tc>
          <w:tcPr>
            <w:tcW w:type="dxa" w:w="2033"/>
            <w:vAlign w:val="center"/>
            <w:tcMar>
              <w:top w:w="90" w:type="dxa"/>
              <w:start w:w="110" w:type="dxa"/>
              <w:bottom w:w="90" w:type="dxa"/>
              <w:end w:w="110" w:type="dxa"/>
            </w:tcMar>
            <w:shd w:fill="F5F8F9"/>
          </w:tcPr>
          <w:p>
            <w:pPr>
              <w:spacing w:after="0" w:line="252" w:lineRule="auto"/>
            </w:pPr>
            <w:r>
              <w:rPr>
                <w:rFonts w:ascii="Arial" w:hAnsi="Arial"/>
                <w:sz w:val="17"/>
              </w:rPr>
            </w:r>
            <w:r>
              <w:rPr>
                <w:rFonts w:ascii="Arial" w:hAnsi="Arial"/>
                <w:b w:val="0"/>
                <w:color w:val="187F82"/>
                <w:sz w:val="17"/>
              </w:rPr>
              <w:t>[ ]</w:t>
            </w:r>
          </w:p>
        </w:tc>
        <w:tc>
          <w:tcPr>
            <w:tcW w:type="dxa" w:w="2033"/>
            <w:vAlign w:val="center"/>
            <w:tcMar>
              <w:top w:w="90" w:type="dxa"/>
              <w:start w:w="110" w:type="dxa"/>
              <w:bottom w:w="90" w:type="dxa"/>
              <w:end w:w="110" w:type="dxa"/>
            </w:tcMar>
            <w:shd w:fill="F5F8F9"/>
          </w:tcPr>
          <w:p>
            <w:pPr>
              <w:spacing w:after="0" w:line="252" w:lineRule="auto"/>
            </w:pPr>
            <w:r>
              <w:rPr>
                <w:rFonts w:ascii="Arial" w:hAnsi="Arial"/>
                <w:sz w:val="17"/>
              </w:rPr>
            </w:r>
            <w:r>
              <w:rPr>
                <w:rFonts w:ascii="Arial" w:hAnsi="Arial"/>
                <w:b w:val="0"/>
                <w:sz w:val="17"/>
              </w:rPr>
              <w:t>Inventory only</w:t>
            </w:r>
          </w:p>
        </w:tc>
      </w:tr>
      <w:tr>
        <w:trPr>
          <w:cantSplit/>
        </w:trPr>
        <w:tc>
          <w:tcPr>
            <w:tcW w:type="dxa" w:w="2033"/>
            <w:vAlign w:val="center"/>
            <w:tcMar>
              <w:top w:w="90" w:type="dxa"/>
              <w:start w:w="110" w:type="dxa"/>
              <w:bottom w:w="90" w:type="dxa"/>
              <w:end w:w="110" w:type="dxa"/>
            </w:tcMar>
          </w:tcPr>
          <w:p>
            <w:pPr>
              <w:spacing w:after="0" w:line="252" w:lineRule="auto"/>
            </w:pPr>
            <w:r>
              <w:rPr>
                <w:rFonts w:ascii="Arial" w:hAnsi="Arial"/>
                <w:sz w:val="17"/>
              </w:rPr>
            </w:r>
            <w:r>
              <w:rPr>
                <w:rFonts w:ascii="Arial" w:hAnsi="Arial"/>
                <w:b w:val="0"/>
                <w:sz w:val="17"/>
              </w:rPr>
              <w:t>3</w:t>
            </w:r>
          </w:p>
        </w:tc>
        <w:tc>
          <w:tcPr>
            <w:tcW w:type="dxa" w:w="2033"/>
            <w:vAlign w:val="center"/>
            <w:tcMar>
              <w:top w:w="90" w:type="dxa"/>
              <w:start w:w="110" w:type="dxa"/>
              <w:bottom w:w="90" w:type="dxa"/>
              <w:end w:w="110" w:type="dxa"/>
            </w:tcMar>
          </w:tcPr>
          <w:p>
            <w:pPr>
              <w:spacing w:after="0" w:line="252" w:lineRule="auto"/>
            </w:pPr>
            <w:r>
              <w:rPr>
                <w:rFonts w:ascii="Arial" w:hAnsi="Arial"/>
                <w:sz w:val="17"/>
              </w:rPr>
            </w:r>
            <w:r>
              <w:rPr>
                <w:rFonts w:ascii="Arial" w:hAnsi="Arial"/>
                <w:b w:val="0"/>
                <w:color w:val="187F82"/>
                <w:sz w:val="17"/>
              </w:rPr>
              <w:t>[ ]</w:t>
            </w:r>
          </w:p>
        </w:tc>
        <w:tc>
          <w:tcPr>
            <w:tcW w:type="dxa" w:w="2033"/>
            <w:vAlign w:val="center"/>
            <w:tcMar>
              <w:top w:w="90" w:type="dxa"/>
              <w:start w:w="110" w:type="dxa"/>
              <w:bottom w:w="90" w:type="dxa"/>
              <w:end w:w="110" w:type="dxa"/>
            </w:tcMar>
          </w:tcPr>
          <w:p>
            <w:pPr>
              <w:spacing w:after="0" w:line="252" w:lineRule="auto"/>
            </w:pPr>
            <w:r>
              <w:rPr>
                <w:rFonts w:ascii="Arial" w:hAnsi="Arial"/>
                <w:sz w:val="17"/>
              </w:rPr>
            </w:r>
            <w:r>
              <w:rPr>
                <w:rFonts w:ascii="Arial" w:hAnsi="Arial"/>
                <w:b w:val="0"/>
                <w:color w:val="187F82"/>
                <w:sz w:val="17"/>
              </w:rPr>
              <w:t>[ ]</w:t>
            </w:r>
          </w:p>
        </w:tc>
        <w:tc>
          <w:tcPr>
            <w:tcW w:type="dxa" w:w="2033"/>
            <w:vAlign w:val="center"/>
            <w:tcMar>
              <w:top w:w="90" w:type="dxa"/>
              <w:start w:w="110" w:type="dxa"/>
              <w:bottom w:w="90" w:type="dxa"/>
              <w:end w:w="110" w:type="dxa"/>
            </w:tcMar>
          </w:tcPr>
          <w:p>
            <w:pPr>
              <w:spacing w:after="0" w:line="252" w:lineRule="auto"/>
            </w:pPr>
            <w:r>
              <w:rPr>
                <w:rFonts w:ascii="Arial" w:hAnsi="Arial"/>
                <w:sz w:val="17"/>
              </w:rPr>
            </w:r>
            <w:r>
              <w:rPr>
                <w:rFonts w:ascii="Arial" w:hAnsi="Arial"/>
                <w:b w:val="0"/>
                <w:color w:val="187F82"/>
                <w:sz w:val="17"/>
              </w:rPr>
              <w:t>[ ]</w:t>
            </w:r>
          </w:p>
        </w:tc>
        <w:tc>
          <w:tcPr>
            <w:tcW w:type="dxa" w:w="2033"/>
            <w:vAlign w:val="center"/>
            <w:tcMar>
              <w:top w:w="90" w:type="dxa"/>
              <w:start w:w="110" w:type="dxa"/>
              <w:bottom w:w="90" w:type="dxa"/>
              <w:end w:w="110" w:type="dxa"/>
            </w:tcMar>
          </w:tcPr>
          <w:p>
            <w:pPr>
              <w:spacing w:after="0" w:line="252" w:lineRule="auto"/>
            </w:pPr>
            <w:r>
              <w:rPr>
                <w:rFonts w:ascii="Arial" w:hAnsi="Arial"/>
                <w:sz w:val="17"/>
              </w:rPr>
            </w:r>
            <w:r>
              <w:rPr>
                <w:rFonts w:ascii="Arial" w:hAnsi="Arial"/>
                <w:b w:val="0"/>
                <w:sz w:val="17"/>
              </w:rPr>
              <w:t>Inventory only</w:t>
            </w:r>
          </w:p>
        </w:tc>
      </w:tr>
    </w:tbl>
    <w:p>
      <w:pPr>
        <w:spacing w:before="0" w:after="0" w:line="60" w:lineRule="exact"/>
      </w:pPr>
      <w:r>
        <w:rPr>
          <w:sz w:val="4"/>
        </w:rPr>
      </w:r>
    </w:p>
    <w:p>
      <w:pPr>
        <w:pStyle w:val="Heading2"/>
      </w:pPr>
      <w:r>
        <w:rPr>
          <w:rFonts w:ascii="Arial" w:hAnsi="Arial"/>
          <w:b w:val="0"/>
        </w:rPr>
        <w:t>One controlled message test</w:t>
      </w:r>
    </w:p>
    <w:p>
      <w:pPr>
        <w:pStyle w:val="ListBullet"/>
        <w:keepLines/>
        <w:spacing w:after="20" w:line="240" w:lineRule="auto"/>
        <w:ind w:left="317" w:hanging="187"/>
      </w:pPr>
      <w:r>
        <w:rPr>
          <w:rFonts w:ascii="Arial" w:hAnsi="Arial"/>
          <w:b w:val="0"/>
        </w:rPr>
        <w:t xml:space="preserve">Service selected for the test: </w:t>
      </w:r>
      <w:r>
        <w:rPr>
          <w:rFonts w:ascii="Arial" w:hAnsi="Arial"/>
          <w:b w:val="0"/>
          <w:color w:val="187F82"/>
        </w:rPr>
        <w:t>[service number]</w:t>
      </w:r>
    </w:p>
    <w:p>
      <w:pPr>
        <w:pStyle w:val="ListBullet"/>
        <w:keepLines/>
        <w:spacing w:after="20" w:line="240" w:lineRule="auto"/>
        <w:ind w:left="317" w:hanging="187"/>
      </w:pPr>
      <w:r>
        <w:rPr>
          <w:rFonts w:ascii="Arial" w:hAnsi="Arial"/>
          <w:b w:val="0"/>
        </w:rPr>
        <w:t xml:space="preserve">Recipient mailbox you control: </w:t>
      </w:r>
      <w:r>
        <w:rPr>
          <w:rFonts w:ascii="Arial" w:hAnsi="Arial"/>
          <w:b w:val="0"/>
          <w:color w:val="187F82"/>
        </w:rPr>
        <w:t>[ ]</w:t>
      </w:r>
    </w:p>
    <w:p>
      <w:pPr>
        <w:pStyle w:val="ListBullet"/>
        <w:keepLines/>
        <w:spacing w:after="20" w:line="240" w:lineRule="auto"/>
        <w:ind w:left="317" w:hanging="187"/>
      </w:pPr>
      <w:r>
        <w:rPr>
          <w:rFonts w:ascii="Arial" w:hAnsi="Arial"/>
          <w:b w:val="0"/>
        </w:rPr>
        <w:t xml:space="preserve">Planned send date and local time, including timezone: </w:t>
      </w:r>
      <w:r>
        <w:rPr>
          <w:rFonts w:ascii="Arial" w:hAnsi="Arial"/>
          <w:b w:val="0"/>
          <w:color w:val="187F82"/>
        </w:rPr>
        <w:t>[ ]</w:t>
      </w:r>
    </w:p>
    <w:p>
      <w:pPr>
        <w:pStyle w:val="ListBullet"/>
        <w:keepLines/>
        <w:spacing w:after="20" w:line="240" w:lineRule="auto"/>
        <w:ind w:left="317" w:hanging="187"/>
      </w:pPr>
      <w:r>
        <w:rPr>
          <w:rFonts w:ascii="Arial" w:hAnsi="Arial"/>
          <w:b w:val="0"/>
        </w:rPr>
        <w:t xml:space="preserve">If delivered, record the send time in UTC: </w:t>
      </w:r>
      <w:r>
        <w:rPr>
          <w:rFonts w:ascii="Arial" w:hAnsi="Arial"/>
          <w:b w:val="0"/>
          <w:color w:val="187F82"/>
        </w:rPr>
        <w:t>[ ]</w:t>
      </w:r>
    </w:p>
    <w:p>
      <w:pPr>
        <w:pStyle w:val="ListBullet"/>
        <w:keepLines/>
        <w:spacing w:after="20" w:line="240" w:lineRule="auto"/>
        <w:ind w:left="317" w:hanging="187"/>
      </w:pPr>
      <w:r>
        <w:rPr>
          <w:rFonts w:ascii="Arial" w:hAnsi="Arial"/>
          <w:b w:val="0"/>
        </w:rPr>
        <w:t xml:space="preserve">Unique test subject: </w:t>
      </w:r>
      <w:r>
        <w:rPr>
          <w:rFonts w:ascii="Arial" w:hAnsi="Arial"/>
          <w:b w:val="0"/>
          <w:color w:val="187F82"/>
        </w:rPr>
        <w:t>[ ]</w:t>
      </w:r>
    </w:p>
    <w:p>
      <w:pPr>
        <w:pStyle w:val="ListBullet"/>
        <w:keepLines/>
        <w:spacing w:after="20" w:line="240" w:lineRule="auto"/>
        <w:ind w:left="317" w:hanging="187"/>
      </w:pPr>
      <w:r>
        <w:rPr>
          <w:rFonts w:ascii="Arial" w:hAnsi="Arial"/>
          <w:b w:val="0"/>
        </w:rPr>
        <w:t>Message content: one short, nonsensitive sentence; do not attach files.</w:t>
      </w:r>
    </w:p>
    <w:p>
      <w:r>
        <w:rPr>
          <w:rFonts w:ascii="Arial" w:hAnsi="Arial"/>
          <w:b w:val="0"/>
        </w:rPr>
        <w:t>Send only after we confirm the agreed scope and start date. Use the selected service's normal sending path and a mailbox you control. Keep the sent and received copies until we agree the test is complete. If the message is not delivered, tell us; a missing message cannot be assessed from headers, and delivery troubleshooting may need separate scope.</w:t>
      </w:r>
    </w:p>
    <w:p>
      <w:pPr>
        <w:pStyle w:val="Heading2"/>
      </w:pPr>
      <w:r>
        <w:rPr>
          <w:rFonts w:ascii="Arial" w:hAnsi="Arial"/>
          <w:b w:val="0"/>
        </w:rPr>
        <w:t>Evidence and privacy</w:t>
      </w:r>
    </w:p>
    <w:p>
      <w:r>
        <w:rPr>
          <w:rFonts w:ascii="Arial" w:hAnsi="Arial"/>
          <w:b w:val="0"/>
        </w:rPr>
        <w:t>We will agree a secure channel before you share evidence. Do not send passwords, MFA codes, app passwords, access tokens, mailbox exports, full raw headers, message bodies, attachments or full DNS exports by ordinary email. Do not give us mailbox credentials or mailbox-wide access for this manual review. The review examines public DNS observations and the minimum necessary evidence from one message you selected; other listed senders are inventory only.</w:t>
      </w:r>
    </w:p>
    <w:p>
      <w:pPr>
        <w:pStyle w:val="Heading2"/>
      </w:pPr>
      <w:r>
        <w:rPr>
          <w:rFonts w:ascii="Arial" w:hAnsi="Arial"/>
          <w:b w:val="0"/>
        </w:rPr>
        <w:t>What happens next</w:t>
      </w:r>
    </w:p>
    <w:p>
      <w:r>
        <w:rPr>
          <w:rFonts w:ascii="Arial" w:hAnsi="Arial"/>
          <w:b w:val="0"/>
        </w:rPr>
        <w:t>We will confirm the domain, sender list, selected test, report recipients, evidence-transfer method, deletion date, fee, report format and delivery date in a written quote. This preparation sheet is not approval to collect evidence. Work starts only after you and Cloudek accept the same written quote and scope. No DNS, Microsoft 365 or sender settings are changed in this review; implementation requires a separate written scope and your explicit approval.</w:t>
      </w:r>
    </w:p>
    <w:p>
      <w:pPr>
        <w:pStyle w:val="ListBullet"/>
        <w:keepLines/>
        <w:spacing w:after="20" w:line="240" w:lineRule="auto"/>
        <w:ind w:left="317" w:hanging="187"/>
      </w:pPr>
      <w:r>
        <w:rPr>
          <w:rFonts w:ascii="Arial" w:hAnsi="Arial"/>
          <w:b w:val="0"/>
        </w:rPr>
        <w:t xml:space="preserve">Prepared by: </w:t>
      </w:r>
      <w:r>
        <w:rPr>
          <w:rFonts w:ascii="Arial" w:hAnsi="Arial"/>
          <w:b w:val="0"/>
          <w:color w:val="187F82"/>
        </w:rPr>
        <w:t>[ ]</w:t>
      </w:r>
    </w:p>
    <w:p>
      <w:pPr>
        <w:pStyle w:val="ListBullet"/>
        <w:keepLines/>
        <w:spacing w:after="20" w:line="240" w:lineRule="auto"/>
        <w:ind w:left="317" w:hanging="187"/>
      </w:pPr>
      <w:r>
        <w:rPr>
          <w:rFonts w:ascii="Arial" w:hAnsi="Arial"/>
          <w:b w:val="0"/>
        </w:rPr>
        <w:t xml:space="preserve">Date: </w:t>
      </w:r>
      <w:r>
        <w:rPr>
          <w:rFonts w:ascii="Arial" w:hAnsi="Arial"/>
          <w:b w:val="0"/>
          <w:color w:val="187F82"/>
        </w:rPr>
        <w:t>[ ]</w:t>
      </w:r>
    </w:p>
    <w:p>
      <w:pPr>
        <w:pStyle w:val="ListBullet"/>
        <w:keepLines/>
        <w:spacing w:after="20" w:line="240" w:lineRule="auto"/>
        <w:ind w:left="317" w:hanging="187"/>
      </w:pPr>
      <w:r>
        <w:rPr>
          <w:rFonts w:ascii="Arial" w:hAnsi="Arial"/>
          <w:b w:val="0"/>
        </w:rPr>
        <w:t xml:space="preserve">Questions or scope notes: </w:t>
      </w:r>
      <w:r>
        <w:rPr>
          <w:rFonts w:ascii="Arial" w:hAnsi="Arial"/>
          <w:b w:val="0"/>
          <w:color w:val="187F82"/>
        </w:rPr>
        <w:t>[ ]</w:t>
      </w:r>
    </w:p>
    <w:sectPr w:rsidR="00FC693F" w:rsidRPr="0006063C" w:rsidSect="00034616">
      <w:headerReference w:type="default" r:id="rId9"/>
      <w:footerReference w:type="default" r:id="rId10"/>
      <w:pgSz w:w="12240" w:h="15840"/>
      <w:pgMar w:top="749" w:right="1037" w:bottom="749" w:left="1037"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C6B78"/>
        <w:sz w:val="16"/>
      </w:rPr>
      <w:t xml:space="preserve">CLOUDEK HOSTING  •  Customer preparation sheet  •  </w:t>
    </w:r>
    <w:r>
      <w:rPr>
        <w:rFonts w:ascii="Arial" w:hAnsi="Arial"/>
        <w:color w:val="5C6B78"/>
        <w:sz w:val="16"/>
      </w:rP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000000"/>
        <w:sz w:val="16"/>
      </w:rPr>
      <w:t>CLOUDEK   /   OPSPILOT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50" w:line="245" w:lineRule="auto"/>
    </w:pPr>
    <w:rPr>
      <w:rFonts w:ascii="Arial" w:hAnsi="Arial"/>
      <w:color w:val="263544"/>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40" w:lineRule="auto"/>
      <w:contextualSpacing/>
    </w:pPr>
    <w:rPr>
      <w:rFonts w:asciiTheme="majorHAnsi" w:eastAsiaTheme="majorEastAsia" w:hAnsiTheme="majorHAnsi" w:cstheme="majorBidi" w:ascii="Arial" w:hAnsi="Arial"/>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Email Review Preparation Sheet</dc:title>
  <dc:subject>Customer worksheet for preparing one scoped email authentication review</dc:subject>
  <dc:creator>Cloudek Hosting</dc:creator>
  <cp:keywords>email authentication, SPF, DKIM, DMARC, customer report</cp:keywords>
  <dc:description>generated by python-docx</dc:description>
  <cp:lastModifiedBy/>
  <cp:revision>1</cp:revision>
  <dcterms:created xsi:type="dcterms:W3CDTF">2026-01-01T00:00:00Z</dcterms:created>
  <dcterms:modified xsi:type="dcterms:W3CDTF">2026-01-01T00:00:00Z</dcterms:modified>
  <cp:category/>
</cp:coreProperties>
</file>